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E96D9" w14:textId="30390269" w:rsidR="004338FA" w:rsidRPr="00004024" w:rsidRDefault="00376080" w:rsidP="0000402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259" w:lineRule="auto"/>
        <w:jc w:val="center"/>
        <w:rPr>
          <w:rFonts w:ascii="Century Gothic" w:eastAsia="Century Gothic" w:hAnsi="Century Gothic" w:cs="Century Gothic"/>
          <w:b/>
          <w:bCs/>
          <w:color w:val="4F81BD"/>
          <w:sz w:val="24"/>
          <w:szCs w:val="24"/>
        </w:rPr>
      </w:pPr>
      <w:r w:rsidRPr="00004024">
        <w:rPr>
          <w:rFonts w:ascii="Century Gothic" w:eastAsia="Century Gothic" w:hAnsi="Century Gothic" w:cs="Century Gothic"/>
          <w:b/>
          <w:bCs/>
          <w:color w:val="2F5496"/>
          <w:sz w:val="52"/>
          <w:szCs w:val="52"/>
        </w:rPr>
        <w:t>District Charter Authorizing Policies and Practices</w:t>
      </w:r>
      <w:r w:rsidR="00004024" w:rsidRPr="00004024">
        <w:rPr>
          <w:rFonts w:ascii="Century Gothic" w:eastAsia="Century Gothic" w:hAnsi="Century Gothic" w:cs="Century Gothic"/>
          <w:b/>
          <w:bCs/>
          <w:color w:val="2F5496"/>
          <w:sz w:val="52"/>
          <w:szCs w:val="52"/>
        </w:rPr>
        <w:t xml:space="preserve"> </w:t>
      </w:r>
      <w:r w:rsidRPr="00004024">
        <w:rPr>
          <w:rFonts w:ascii="Century Gothic" w:eastAsia="Century Gothic" w:hAnsi="Century Gothic" w:cs="Century Gothic"/>
          <w:b/>
          <w:bCs/>
          <w:color w:val="2F5496"/>
          <w:sz w:val="52"/>
          <w:szCs w:val="52"/>
        </w:rPr>
        <w:t>Evaluation Form</w:t>
      </w:r>
    </w:p>
    <w:p w14:paraId="773127D0" w14:textId="02812A1B" w:rsidR="004338FA" w:rsidRDefault="004338FA" w:rsidP="00004024">
      <w:pPr>
        <w:tabs>
          <w:tab w:val="left" w:pos="9507"/>
        </w:tabs>
        <w:rPr>
          <w:b/>
          <w:highlight w:val="yellow"/>
        </w:rPr>
      </w:pPr>
    </w:p>
    <w:p w14:paraId="08D5EC01" w14:textId="77777777" w:rsidR="004338FA" w:rsidRDefault="00376080">
      <w:pPr>
        <w:pStyle w:val="Heading1"/>
        <w:tabs>
          <w:tab w:val="left" w:pos="9507"/>
        </w:tabs>
        <w:spacing w:before="0"/>
        <w:ind w:right="115"/>
        <w:rPr>
          <w:b/>
          <w:color w:val="4F81BD"/>
          <w:sz w:val="24"/>
          <w:szCs w:val="24"/>
        </w:rPr>
      </w:pPr>
      <w:r>
        <w:rPr>
          <w:b/>
          <w:color w:val="4F81BD"/>
          <w:sz w:val="24"/>
          <w:szCs w:val="24"/>
        </w:rPr>
        <w:t xml:space="preserve">Review Overview </w:t>
      </w:r>
    </w:p>
    <w:p w14:paraId="11CB86C8" w14:textId="77777777" w:rsidR="004338FA" w:rsidRDefault="003760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80" w:line="240" w:lineRule="auto"/>
      </w:pPr>
      <w:bookmarkStart w:id="0" w:name="_gjdgxs" w:colFirst="0" w:colLast="0"/>
      <w:bookmarkEnd w:id="0"/>
      <w:r>
        <w:t>TEA will evaluate relevant sections from each district’s charter authorizing policies and practices. Policies and supplemental documents will be evaluated by a review team that includes a minimum of three members.</w:t>
      </w:r>
    </w:p>
    <w:p w14:paraId="47FE64C6" w14:textId="77777777" w:rsidR="004338FA" w:rsidRDefault="00376080">
      <w:pPr>
        <w:spacing w:after="280" w:line="240" w:lineRule="auto"/>
        <w:rPr>
          <w:u w:val="single"/>
        </w:rPr>
      </w:pPr>
      <w:r>
        <w:t>Review team members will individually review policies and supplemental documents using the criteria in this rubric. The review team will discuss individual findings and will establish a consensus rating for each section of the rubric. In order to meet the TEA threshold for approval, a proposal must “Meet the Standard” in each of the sections below and may not receive a rating of “Does Not Meet the Standard” in any section.</w:t>
      </w:r>
    </w:p>
    <w:p w14:paraId="056CC9AA" w14:textId="77777777" w:rsidR="004338FA" w:rsidRDefault="00376080">
      <w:pPr>
        <w:pStyle w:val="Heading1"/>
        <w:tabs>
          <w:tab w:val="left" w:pos="9507"/>
        </w:tabs>
        <w:spacing w:before="0"/>
        <w:ind w:right="115"/>
        <w:rPr>
          <w:b/>
          <w:color w:val="4F81BD"/>
          <w:sz w:val="24"/>
          <w:szCs w:val="24"/>
        </w:rPr>
      </w:pPr>
      <w:r>
        <w:rPr>
          <w:b/>
          <w:color w:val="4F81BD"/>
          <w:sz w:val="24"/>
          <w:szCs w:val="24"/>
        </w:rPr>
        <w:t>Evaluation Criteria:</w:t>
      </w:r>
    </w:p>
    <w:p w14:paraId="3981280B" w14:textId="77777777" w:rsidR="004338FA" w:rsidRDefault="00376080">
      <w:pPr>
        <w:spacing w:after="120"/>
      </w:pPr>
      <w:r>
        <w:t xml:space="preserve">Evaluators will use the following criteria to rate applicant responses to the Texas Partnership Benefits Application. Within each section, specific criteria define the expectations for a strong response that “Meets the Standard.” Evaluators will rate responses by applying the following guidance: </w:t>
      </w:r>
    </w:p>
    <w:tbl>
      <w:tblPr>
        <w:tblStyle w:val="a1"/>
        <w:tblW w:w="9360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6570"/>
      </w:tblGrid>
      <w:tr w:rsidR="004338FA" w14:paraId="5BDB7B32" w14:textId="77777777" w:rsidTr="00004024">
        <w:trPr>
          <w:trHeight w:val="240"/>
        </w:trPr>
        <w:tc>
          <w:tcPr>
            <w:tcW w:w="2790" w:type="dxa"/>
            <w:shd w:val="clear" w:color="auto" w:fill="auto"/>
          </w:tcPr>
          <w:p w14:paraId="2AEA0B0F" w14:textId="77777777" w:rsidR="004338FA" w:rsidRDefault="003760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after="60" w:line="240" w:lineRule="auto"/>
              <w:ind w:left="180" w:right="147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Rating</w:t>
            </w:r>
          </w:p>
        </w:tc>
        <w:tc>
          <w:tcPr>
            <w:tcW w:w="6570" w:type="dxa"/>
            <w:shd w:val="clear" w:color="auto" w:fill="auto"/>
          </w:tcPr>
          <w:p w14:paraId="6FB708DA" w14:textId="77777777" w:rsidR="004338FA" w:rsidRDefault="003760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after="60" w:line="240" w:lineRule="auto"/>
              <w:ind w:left="13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Characteristics</w:t>
            </w:r>
          </w:p>
        </w:tc>
      </w:tr>
      <w:tr w:rsidR="004338FA" w14:paraId="48679B19" w14:textId="77777777">
        <w:trPr>
          <w:trHeight w:val="240"/>
        </w:trPr>
        <w:tc>
          <w:tcPr>
            <w:tcW w:w="2790" w:type="dxa"/>
            <w:vAlign w:val="center"/>
          </w:tcPr>
          <w:p w14:paraId="0E120B81" w14:textId="77777777" w:rsidR="004338FA" w:rsidRDefault="003760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after="60" w:line="240" w:lineRule="auto"/>
              <w:ind w:left="190"/>
              <w:rPr>
                <w:color w:val="000000"/>
              </w:rPr>
            </w:pPr>
            <w:r>
              <w:rPr>
                <w:b/>
                <w:color w:val="000000"/>
              </w:rPr>
              <w:t>Meets the Standard</w:t>
            </w:r>
          </w:p>
        </w:tc>
        <w:tc>
          <w:tcPr>
            <w:tcW w:w="6570" w:type="dxa"/>
          </w:tcPr>
          <w:p w14:paraId="654FFB46" w14:textId="6ED7C6E8" w:rsidR="004338FA" w:rsidRDefault="003760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after="60" w:line="240" w:lineRule="auto"/>
              <w:ind w:left="190" w:right="90"/>
              <w:rPr>
                <w:color w:val="000000"/>
              </w:rPr>
            </w:pPr>
            <w:r>
              <w:rPr>
                <w:color w:val="000000"/>
              </w:rPr>
              <w:t>The response</w:t>
            </w:r>
            <w:r w:rsidR="001635C2">
              <w:rPr>
                <w:color w:val="000000"/>
              </w:rPr>
              <w:t xml:space="preserve"> meets all or most of the criteria. It</w:t>
            </w:r>
            <w:r>
              <w:rPr>
                <w:color w:val="000000"/>
              </w:rPr>
              <w:t xml:space="preserve"> reflects a thorough understanding of key issues. It addresses the topic with specific and accurate information that shows thorough preparation; presents a clear, realistic picture of how the school expects to operate; and inspires confidence in the applicant’s capacity to carry out the plan effectively.</w:t>
            </w:r>
          </w:p>
        </w:tc>
      </w:tr>
      <w:tr w:rsidR="004338FA" w14:paraId="1CD6DB52" w14:textId="77777777">
        <w:trPr>
          <w:trHeight w:val="240"/>
        </w:trPr>
        <w:tc>
          <w:tcPr>
            <w:tcW w:w="2790" w:type="dxa"/>
            <w:vAlign w:val="center"/>
          </w:tcPr>
          <w:p w14:paraId="49B5F2C9" w14:textId="77777777" w:rsidR="004338FA" w:rsidRDefault="003760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after="60" w:line="240" w:lineRule="auto"/>
              <w:ind w:left="190"/>
              <w:rPr>
                <w:color w:val="000000"/>
              </w:rPr>
            </w:pPr>
            <w:r>
              <w:rPr>
                <w:b/>
                <w:color w:val="000000"/>
              </w:rPr>
              <w:t>Partially</w:t>
            </w:r>
            <w:r>
              <w:rPr>
                <w:b/>
                <w:color w:val="000000"/>
              </w:rPr>
              <w:br/>
              <w:t>Meets the Standard</w:t>
            </w:r>
          </w:p>
        </w:tc>
        <w:tc>
          <w:tcPr>
            <w:tcW w:w="6570" w:type="dxa"/>
          </w:tcPr>
          <w:p w14:paraId="642FE7A7" w14:textId="77777777" w:rsidR="004338FA" w:rsidRDefault="003760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after="60" w:line="240" w:lineRule="auto"/>
              <w:ind w:left="190" w:right="90"/>
              <w:rPr>
                <w:color w:val="000000"/>
              </w:rPr>
            </w:pPr>
            <w:r>
              <w:rPr>
                <w:color w:val="000000"/>
              </w:rPr>
              <w:t>The response meets the criteria in some respects but lacks detail and/or requires additional information in one or more areas.</w:t>
            </w:r>
          </w:p>
        </w:tc>
      </w:tr>
      <w:tr w:rsidR="004338FA" w14:paraId="4168DFEC" w14:textId="77777777">
        <w:trPr>
          <w:trHeight w:val="240"/>
        </w:trPr>
        <w:tc>
          <w:tcPr>
            <w:tcW w:w="2790" w:type="dxa"/>
            <w:vAlign w:val="center"/>
          </w:tcPr>
          <w:p w14:paraId="79A8909C" w14:textId="77777777" w:rsidR="004338FA" w:rsidRDefault="003760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after="60" w:line="240" w:lineRule="auto"/>
              <w:ind w:left="190"/>
              <w:rPr>
                <w:color w:val="000000"/>
              </w:rPr>
            </w:pPr>
            <w:r>
              <w:rPr>
                <w:b/>
                <w:color w:val="000000"/>
              </w:rPr>
              <w:t>Does Not</w:t>
            </w:r>
            <w:r>
              <w:rPr>
                <w:b/>
                <w:color w:val="000000"/>
              </w:rPr>
              <w:br/>
              <w:t>Meet the Standard</w:t>
            </w:r>
          </w:p>
        </w:tc>
        <w:tc>
          <w:tcPr>
            <w:tcW w:w="6570" w:type="dxa"/>
          </w:tcPr>
          <w:p w14:paraId="52C096E0" w14:textId="77777777" w:rsidR="004338FA" w:rsidRDefault="003760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after="60" w:line="240" w:lineRule="auto"/>
              <w:ind w:left="190" w:right="90"/>
              <w:rPr>
                <w:color w:val="000000"/>
              </w:rPr>
            </w:pPr>
            <w:r>
              <w:rPr>
                <w:color w:val="000000"/>
              </w:rPr>
              <w:t>The response is wholly undeveloped or significantly incomplete; demonstrates lack of preparation; is unsuited to the mission of the authorizer or otherwise raises substantial concerns about the viability of the plan or the applicant’s ability to carry it out.</w:t>
            </w:r>
          </w:p>
        </w:tc>
      </w:tr>
    </w:tbl>
    <w:p w14:paraId="6F6344B0" w14:textId="77777777" w:rsidR="004338FA" w:rsidRDefault="004338FA">
      <w:pPr>
        <w:rPr>
          <w:color w:val="1F497D"/>
          <w:sz w:val="24"/>
          <w:szCs w:val="24"/>
        </w:rPr>
      </w:pPr>
    </w:p>
    <w:p w14:paraId="4E4EF99D" w14:textId="77777777" w:rsidR="004338FA" w:rsidRDefault="00376080">
      <w:r>
        <w:t>Recommendations from the Review Committee will be based on evaluation of the written application (narrative and attachments), independent due diligence, and the applicant interview (if applicable).</w:t>
      </w:r>
    </w:p>
    <w:p w14:paraId="46CAE89B" w14:textId="77777777" w:rsidR="004338FA" w:rsidRDefault="004338FA"/>
    <w:p w14:paraId="714A63B6" w14:textId="77777777" w:rsidR="004338FA" w:rsidRDefault="004338FA"/>
    <w:p w14:paraId="4DE0426A" w14:textId="77777777" w:rsidR="004338FA" w:rsidRDefault="004338FA"/>
    <w:p w14:paraId="2F60BBBE" w14:textId="77777777" w:rsidR="004338FA" w:rsidRDefault="00376080">
      <w:pPr>
        <w:pStyle w:val="Heading1"/>
        <w:tabs>
          <w:tab w:val="left" w:pos="9507"/>
        </w:tabs>
        <w:spacing w:before="0"/>
        <w:ind w:right="115"/>
        <w:rPr>
          <w:b/>
          <w:color w:val="1F497D"/>
          <w:sz w:val="24"/>
          <w:szCs w:val="24"/>
        </w:rPr>
      </w:pPr>
      <w:r>
        <w:rPr>
          <w:b/>
          <w:color w:val="4F81BD"/>
          <w:sz w:val="24"/>
          <w:szCs w:val="24"/>
        </w:rPr>
        <w:lastRenderedPageBreak/>
        <w:t>Authorizing Mission and Core Vision</w:t>
      </w:r>
    </w:p>
    <w:p w14:paraId="2D0F3CB2" w14:textId="01BCB6EE" w:rsidR="004338FA" w:rsidRDefault="003760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u w:val="single"/>
        </w:rPr>
      </w:pPr>
      <w:r>
        <w:rPr>
          <w:color w:val="000000"/>
        </w:rPr>
        <w:t xml:space="preserve">The mission is focused on improving student learning, increasing choice, creating professional opportunities to attract teachers, establishing new forms of accountability, and encouraging innovative learning methods. </w:t>
      </w:r>
    </w:p>
    <w:p w14:paraId="3C9835E2" w14:textId="77777777" w:rsidR="004338FA" w:rsidRDefault="003760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Authorizing principles emphasize high standards, operator autonomy, and the well-being of students. </w:t>
      </w:r>
    </w:p>
    <w:p w14:paraId="3657E1F0" w14:textId="52C26378" w:rsidR="004338FA" w:rsidRDefault="003760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The district provides a clear explanation of how authorizing charter schools will align to a broader</w:t>
      </w:r>
      <w:r w:rsidR="00A6649F">
        <w:rPr>
          <w:color w:val="000000"/>
        </w:rPr>
        <w:t>, defined</w:t>
      </w:r>
      <w:r>
        <w:rPr>
          <w:color w:val="000000"/>
        </w:rPr>
        <w:t xml:space="preserve"> district strategy.</w:t>
      </w:r>
    </w:p>
    <w:p w14:paraId="64838EEC" w14:textId="77777777" w:rsidR="004338FA" w:rsidRDefault="004338F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 w:hanging="720"/>
        <w:rPr>
          <w:color w:val="000000"/>
        </w:rPr>
      </w:pP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3150"/>
        <w:gridCol w:w="2965"/>
      </w:tblGrid>
      <w:tr w:rsidR="004338FA" w14:paraId="2680320F" w14:textId="77777777">
        <w:trPr>
          <w:trHeight w:val="200"/>
        </w:trPr>
        <w:tc>
          <w:tcPr>
            <w:tcW w:w="9350" w:type="dxa"/>
            <w:gridSpan w:val="3"/>
            <w:shd w:val="clear" w:color="auto" w:fill="95B3D7"/>
          </w:tcPr>
          <w:p w14:paraId="260EF2AA" w14:textId="77777777" w:rsidR="004338FA" w:rsidRDefault="003760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Review</w:t>
            </w:r>
          </w:p>
        </w:tc>
      </w:tr>
      <w:tr w:rsidR="004338FA" w14:paraId="02AD98C9" w14:textId="77777777">
        <w:trPr>
          <w:trHeight w:val="920"/>
        </w:trPr>
        <w:tc>
          <w:tcPr>
            <w:tcW w:w="3235" w:type="dxa"/>
            <w:vAlign w:val="center"/>
          </w:tcPr>
          <w:p w14:paraId="1F0D3C2C" w14:textId="77777777" w:rsidR="004338FA" w:rsidRDefault="003760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t xml:space="preserve"> Meets the Standard</w:t>
            </w:r>
          </w:p>
        </w:tc>
        <w:tc>
          <w:tcPr>
            <w:tcW w:w="3150" w:type="dxa"/>
            <w:vAlign w:val="center"/>
          </w:tcPr>
          <w:p w14:paraId="59CA2BD7" w14:textId="77777777" w:rsidR="004338FA" w:rsidRDefault="003760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t xml:space="preserve"> Partially Meets the Standard</w:t>
            </w:r>
          </w:p>
        </w:tc>
        <w:tc>
          <w:tcPr>
            <w:tcW w:w="2965" w:type="dxa"/>
            <w:vAlign w:val="center"/>
          </w:tcPr>
          <w:p w14:paraId="3C00B85D" w14:textId="77777777" w:rsidR="004338FA" w:rsidRDefault="003760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t xml:space="preserve"> Does Not Meet the Standard</w:t>
            </w:r>
          </w:p>
        </w:tc>
      </w:tr>
      <w:tr w:rsidR="004338FA" w14:paraId="0266C468" w14:textId="77777777">
        <w:tc>
          <w:tcPr>
            <w:tcW w:w="9350" w:type="dxa"/>
            <w:gridSpan w:val="3"/>
            <w:shd w:val="clear" w:color="auto" w:fill="95B3D7"/>
            <w:vAlign w:val="center"/>
          </w:tcPr>
          <w:p w14:paraId="58CB180E" w14:textId="77777777" w:rsidR="004338FA" w:rsidRDefault="003760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445"/>
                <w:tab w:val="center" w:pos="4567"/>
              </w:tabs>
              <w:jc w:val="center"/>
            </w:pPr>
            <w:r>
              <w:t>Comments/Feedback</w:t>
            </w:r>
          </w:p>
        </w:tc>
      </w:tr>
      <w:tr w:rsidR="004338FA" w14:paraId="256BD515" w14:textId="77777777">
        <w:trPr>
          <w:trHeight w:val="560"/>
        </w:trPr>
        <w:tc>
          <w:tcPr>
            <w:tcW w:w="9350" w:type="dxa"/>
            <w:gridSpan w:val="3"/>
          </w:tcPr>
          <w:p w14:paraId="3B8982CD" w14:textId="77777777" w:rsidR="004338FA" w:rsidRDefault="003760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</w:tbl>
    <w:p w14:paraId="34DA529B" w14:textId="77777777" w:rsidR="004338FA" w:rsidRDefault="004338FA">
      <w:pPr>
        <w:spacing w:after="280" w:line="240" w:lineRule="auto"/>
        <w:rPr>
          <w:u w:val="single"/>
        </w:rPr>
      </w:pPr>
    </w:p>
    <w:p w14:paraId="369FE531" w14:textId="77777777" w:rsidR="004338FA" w:rsidRDefault="00376080">
      <w:pPr>
        <w:pStyle w:val="Heading1"/>
        <w:tabs>
          <w:tab w:val="left" w:pos="9507"/>
        </w:tabs>
        <w:spacing w:before="0"/>
        <w:ind w:right="115"/>
        <w:rPr>
          <w:b/>
          <w:color w:val="4F81BD"/>
          <w:sz w:val="24"/>
          <w:szCs w:val="24"/>
        </w:rPr>
      </w:pPr>
      <w:r>
        <w:rPr>
          <w:b/>
          <w:color w:val="4F81BD"/>
          <w:sz w:val="24"/>
          <w:szCs w:val="24"/>
        </w:rPr>
        <w:t>Commitment &amp; Capacity:</w:t>
      </w:r>
    </w:p>
    <w:p w14:paraId="36F833D0" w14:textId="77777777" w:rsidR="00A6649F" w:rsidRPr="00A6649F" w:rsidRDefault="00A6649F" w:rsidP="00A6649F">
      <w:pPr>
        <w:pStyle w:val="ListParagraph"/>
        <w:numPr>
          <w:ilvl w:val="0"/>
          <w:numId w:val="6"/>
        </w:numPr>
        <w:spacing w:after="120" w:line="240" w:lineRule="auto"/>
        <w:rPr>
          <w:color w:val="000000"/>
        </w:rPr>
      </w:pPr>
      <w:r w:rsidRPr="00A6649F">
        <w:rPr>
          <w:color w:val="000000"/>
        </w:rPr>
        <w:t>The district has dedicated capacity and resources to charter authorizing processes and ongoing monitoring of district charter campuses, including a dedicated FTE (or equivalent) that began in the position prior to the evaluation of the partnership.</w:t>
      </w:r>
    </w:p>
    <w:p w14:paraId="6AE88ECC" w14:textId="77777777" w:rsidR="00A6649F" w:rsidRPr="00A6649F" w:rsidRDefault="00A6649F" w:rsidP="00A6649F">
      <w:pPr>
        <w:pStyle w:val="ListParagraph"/>
        <w:numPr>
          <w:ilvl w:val="0"/>
          <w:numId w:val="6"/>
        </w:numPr>
        <w:spacing w:after="120" w:line="240" w:lineRule="auto"/>
        <w:rPr>
          <w:color w:val="000000"/>
        </w:rPr>
      </w:pPr>
      <w:r w:rsidRPr="00A6649F">
        <w:rPr>
          <w:color w:val="000000"/>
        </w:rPr>
        <w:t>Members of the district’s leadership team are qualified to oversee authorizing activities: have engaged in authorizing training or have prior experience in authorizing in this or another district.</w:t>
      </w:r>
    </w:p>
    <w:p w14:paraId="6431B567" w14:textId="77777777" w:rsidR="004338FA" w:rsidRDefault="004338FA">
      <w:pPr>
        <w:spacing w:after="120" w:line="240" w:lineRule="auto"/>
      </w:pP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3150"/>
        <w:gridCol w:w="2965"/>
      </w:tblGrid>
      <w:tr w:rsidR="004338FA" w14:paraId="0FE11765" w14:textId="77777777">
        <w:trPr>
          <w:trHeight w:val="200"/>
        </w:trPr>
        <w:tc>
          <w:tcPr>
            <w:tcW w:w="9350" w:type="dxa"/>
            <w:gridSpan w:val="3"/>
            <w:shd w:val="clear" w:color="auto" w:fill="95B3D7"/>
          </w:tcPr>
          <w:p w14:paraId="62090A68" w14:textId="77777777" w:rsidR="004338FA" w:rsidRDefault="003760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Review</w:t>
            </w:r>
          </w:p>
        </w:tc>
      </w:tr>
      <w:tr w:rsidR="004338FA" w14:paraId="0EEB71EC" w14:textId="77777777">
        <w:trPr>
          <w:trHeight w:val="920"/>
        </w:trPr>
        <w:tc>
          <w:tcPr>
            <w:tcW w:w="3235" w:type="dxa"/>
            <w:vAlign w:val="center"/>
          </w:tcPr>
          <w:p w14:paraId="494B287A" w14:textId="77777777" w:rsidR="004338FA" w:rsidRDefault="003760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t xml:space="preserve"> Meets the Standard</w:t>
            </w:r>
          </w:p>
        </w:tc>
        <w:tc>
          <w:tcPr>
            <w:tcW w:w="3150" w:type="dxa"/>
            <w:vAlign w:val="center"/>
          </w:tcPr>
          <w:p w14:paraId="635C9F4B" w14:textId="77777777" w:rsidR="004338FA" w:rsidRDefault="003760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t xml:space="preserve"> Partially Meets the Standard</w:t>
            </w:r>
          </w:p>
        </w:tc>
        <w:tc>
          <w:tcPr>
            <w:tcW w:w="2965" w:type="dxa"/>
            <w:vAlign w:val="center"/>
          </w:tcPr>
          <w:p w14:paraId="7357EB51" w14:textId="77777777" w:rsidR="004338FA" w:rsidRDefault="003760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t xml:space="preserve"> Does Not Meet the Standard</w:t>
            </w:r>
          </w:p>
        </w:tc>
      </w:tr>
      <w:tr w:rsidR="004338FA" w14:paraId="77F7BCAA" w14:textId="77777777">
        <w:tc>
          <w:tcPr>
            <w:tcW w:w="9350" w:type="dxa"/>
            <w:gridSpan w:val="3"/>
            <w:shd w:val="clear" w:color="auto" w:fill="95B3D7"/>
            <w:vAlign w:val="center"/>
          </w:tcPr>
          <w:p w14:paraId="797E28FF" w14:textId="77777777" w:rsidR="004338FA" w:rsidRDefault="003760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445"/>
                <w:tab w:val="center" w:pos="4567"/>
              </w:tabs>
              <w:jc w:val="center"/>
            </w:pPr>
            <w:r>
              <w:t>Comments/Feedback</w:t>
            </w:r>
          </w:p>
        </w:tc>
      </w:tr>
      <w:tr w:rsidR="004338FA" w14:paraId="06B2DFAC" w14:textId="77777777">
        <w:trPr>
          <w:trHeight w:val="560"/>
        </w:trPr>
        <w:tc>
          <w:tcPr>
            <w:tcW w:w="9350" w:type="dxa"/>
            <w:gridSpan w:val="3"/>
          </w:tcPr>
          <w:p w14:paraId="760DB3AD" w14:textId="77777777" w:rsidR="004338FA" w:rsidRDefault="003760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</w:tbl>
    <w:p w14:paraId="173B8BA6" w14:textId="77777777" w:rsidR="004338FA" w:rsidRDefault="004338FA">
      <w:pPr>
        <w:spacing w:after="120" w:line="240" w:lineRule="auto"/>
      </w:pPr>
    </w:p>
    <w:p w14:paraId="626921B0" w14:textId="77777777" w:rsidR="004338FA" w:rsidRDefault="004338FA">
      <w:pPr>
        <w:spacing w:line="240" w:lineRule="auto"/>
        <w:rPr>
          <w:u w:val="single"/>
        </w:rPr>
      </w:pPr>
    </w:p>
    <w:p w14:paraId="763E5A97" w14:textId="77777777" w:rsidR="004338FA" w:rsidRDefault="00376080">
      <w:pPr>
        <w:pStyle w:val="Heading1"/>
        <w:tabs>
          <w:tab w:val="left" w:pos="9507"/>
        </w:tabs>
        <w:spacing w:before="0"/>
        <w:ind w:right="115"/>
        <w:rPr>
          <w:b/>
          <w:color w:val="4F81BD"/>
          <w:sz w:val="24"/>
          <w:szCs w:val="24"/>
        </w:rPr>
      </w:pPr>
      <w:r>
        <w:rPr>
          <w:b/>
          <w:color w:val="4F81BD"/>
          <w:sz w:val="24"/>
          <w:szCs w:val="24"/>
        </w:rPr>
        <w:t>Application and Review Process:</w:t>
      </w:r>
    </w:p>
    <w:p w14:paraId="51264425" w14:textId="77777777" w:rsidR="004338FA" w:rsidRDefault="003760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The policy and process supplemental document in conjunction with the local application establishes a process to evaluate proposals submitted under TEC Chapter 12, Subchapter C. This process includes, at a minimum: </w:t>
      </w:r>
    </w:p>
    <w:p w14:paraId="441131DB" w14:textId="77777777" w:rsidR="004338FA" w:rsidRDefault="0037608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Eligibility requirements for existing operators and other eligible entities; </w:t>
      </w:r>
    </w:p>
    <w:p w14:paraId="62B28668" w14:textId="77777777" w:rsidR="004338FA" w:rsidRDefault="0037608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A written application that includes academic, operational, financial and governance plans; </w:t>
      </w:r>
    </w:p>
    <w:p w14:paraId="75DB3A8A" w14:textId="77777777" w:rsidR="004338FA" w:rsidRDefault="0037608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lastRenderedPageBreak/>
        <w:t xml:space="preserve">A description of the review process that will promote a rigorous evaluation of submitted proposals, including standards for review, the use of expert review teams, and a formal approval process by the local Board; </w:t>
      </w:r>
    </w:p>
    <w:p w14:paraId="7661BC83" w14:textId="77777777" w:rsidR="004338FA" w:rsidRDefault="0037608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Clear procedures for communicating application evaluation criteria and approval/denial decisions, (including basis for decisions), to charter applicants in writing and for the public record;</w:t>
      </w:r>
    </w:p>
    <w:p w14:paraId="1E89DB83" w14:textId="3BE7471A" w:rsidR="004338FA" w:rsidRPr="00A6649F" w:rsidRDefault="0037608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Clear process for the public to learn about potential charter applications prior to approval decisions by the local board. </w:t>
      </w:r>
    </w:p>
    <w:p w14:paraId="329F8CAF" w14:textId="39C6E777" w:rsidR="00A6649F" w:rsidRPr="00A6649F" w:rsidRDefault="00A6649F" w:rsidP="00A664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The application describes the review process used by the district, which includes:</w:t>
      </w:r>
    </w:p>
    <w:p w14:paraId="10337470" w14:textId="33AC4978" w:rsidR="00A6649F" w:rsidRDefault="00A6649F" w:rsidP="00A6649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a partner application review process in alignment with board policy and processes</w:t>
      </w:r>
      <w:r>
        <w:t>;</w:t>
      </w:r>
    </w:p>
    <w:p w14:paraId="40231F2F" w14:textId="7A8A86AF" w:rsidR="00A6649F" w:rsidRDefault="00A6649F" w:rsidP="00A6649F">
      <w:pPr>
        <w:pStyle w:val="ListParagraph"/>
        <w:numPr>
          <w:ilvl w:val="1"/>
          <w:numId w:val="4"/>
        </w:numPr>
        <w:spacing w:after="160" w:line="259" w:lineRule="auto"/>
      </w:pPr>
      <w:r>
        <w:t xml:space="preserve">a review panel </w:t>
      </w:r>
      <w:r>
        <w:t>that</w:t>
      </w:r>
      <w:r>
        <w:t xml:space="preserve"> evaluate</w:t>
      </w:r>
      <w:r>
        <w:t>d</w:t>
      </w:r>
      <w:r>
        <w:t xml:space="preserve"> applications and identif</w:t>
      </w:r>
      <w:r>
        <w:t>ied</w:t>
      </w:r>
      <w:r>
        <w:t xml:space="preserve"> areas of strength and deficiencies in partner applications</w:t>
      </w:r>
      <w:r>
        <w:t>; and</w:t>
      </w:r>
    </w:p>
    <w:p w14:paraId="64EFD1EA" w14:textId="77777777" w:rsidR="00A6649F" w:rsidRDefault="00A6649F" w:rsidP="00A6649F">
      <w:pPr>
        <w:pStyle w:val="ListParagraph"/>
        <w:numPr>
          <w:ilvl w:val="1"/>
          <w:numId w:val="4"/>
        </w:numPr>
        <w:spacing w:after="160" w:line="259" w:lineRule="auto"/>
      </w:pPr>
      <w:r>
        <w:t>The district’s review panel conducted a capacity interview with the selected partner. In the capacity interview:</w:t>
      </w:r>
    </w:p>
    <w:p w14:paraId="5F54E149" w14:textId="77777777" w:rsidR="00A6649F" w:rsidRDefault="00A6649F" w:rsidP="00A6649F">
      <w:pPr>
        <w:pStyle w:val="ListParagraph"/>
        <w:numPr>
          <w:ilvl w:val="2"/>
          <w:numId w:val="4"/>
        </w:numPr>
        <w:spacing w:after="160" w:line="259" w:lineRule="auto"/>
      </w:pPr>
      <w:r>
        <w:t>The district review panel asked questions related to the application deficiencies already identified by the panel in the application review process</w:t>
      </w:r>
    </w:p>
    <w:p w14:paraId="41B46212" w14:textId="3AF6359C" w:rsidR="00A6649F" w:rsidRDefault="00A6649F" w:rsidP="00A6649F">
      <w:pPr>
        <w:pStyle w:val="ListParagraph"/>
        <w:numPr>
          <w:ilvl w:val="2"/>
          <w:numId w:val="4"/>
        </w:numPr>
        <w:spacing w:after="160" w:line="259" w:lineRule="auto"/>
      </w:pPr>
      <w:r>
        <w:t xml:space="preserve">The selected partner was able to provide </w:t>
      </w:r>
      <w:proofErr w:type="gramStart"/>
      <w:r>
        <w:t>sufficient</w:t>
      </w:r>
      <w:proofErr w:type="gramEnd"/>
      <w:r>
        <w:t xml:space="preserve"> information and/or guarantees to the district to address the deficiencies</w:t>
      </w:r>
      <w:bookmarkStart w:id="1" w:name="_GoBack"/>
      <w:bookmarkEnd w:id="1"/>
    </w:p>
    <w:p w14:paraId="29B6F60D" w14:textId="77777777" w:rsidR="004338FA" w:rsidRDefault="004338F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 w:hanging="720"/>
        <w:rPr>
          <w:color w:val="000000"/>
        </w:rPr>
      </w:pP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3150"/>
        <w:gridCol w:w="2965"/>
      </w:tblGrid>
      <w:tr w:rsidR="004338FA" w14:paraId="7C8070FA" w14:textId="77777777">
        <w:trPr>
          <w:trHeight w:val="200"/>
        </w:trPr>
        <w:tc>
          <w:tcPr>
            <w:tcW w:w="9350" w:type="dxa"/>
            <w:gridSpan w:val="3"/>
            <w:shd w:val="clear" w:color="auto" w:fill="95B3D7"/>
          </w:tcPr>
          <w:p w14:paraId="6B0A12CF" w14:textId="77777777" w:rsidR="004338FA" w:rsidRDefault="003760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Review</w:t>
            </w:r>
          </w:p>
        </w:tc>
      </w:tr>
      <w:tr w:rsidR="004338FA" w14:paraId="35D8FD12" w14:textId="77777777">
        <w:trPr>
          <w:trHeight w:val="920"/>
        </w:trPr>
        <w:tc>
          <w:tcPr>
            <w:tcW w:w="3235" w:type="dxa"/>
            <w:vAlign w:val="center"/>
          </w:tcPr>
          <w:p w14:paraId="667B28AB" w14:textId="77777777" w:rsidR="004338FA" w:rsidRDefault="003760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t xml:space="preserve"> Meets the Standard</w:t>
            </w:r>
          </w:p>
        </w:tc>
        <w:tc>
          <w:tcPr>
            <w:tcW w:w="3150" w:type="dxa"/>
            <w:vAlign w:val="center"/>
          </w:tcPr>
          <w:p w14:paraId="1DD42015" w14:textId="77777777" w:rsidR="004338FA" w:rsidRDefault="003760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t xml:space="preserve"> Partially Meets the Standard</w:t>
            </w:r>
          </w:p>
        </w:tc>
        <w:tc>
          <w:tcPr>
            <w:tcW w:w="2965" w:type="dxa"/>
            <w:vAlign w:val="center"/>
          </w:tcPr>
          <w:p w14:paraId="6DDF980C" w14:textId="77777777" w:rsidR="004338FA" w:rsidRDefault="003760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t xml:space="preserve"> Does Not Meet the Standard</w:t>
            </w:r>
          </w:p>
        </w:tc>
      </w:tr>
      <w:tr w:rsidR="004338FA" w14:paraId="7988F4BD" w14:textId="77777777">
        <w:tc>
          <w:tcPr>
            <w:tcW w:w="9350" w:type="dxa"/>
            <w:gridSpan w:val="3"/>
            <w:shd w:val="clear" w:color="auto" w:fill="95B3D7"/>
            <w:vAlign w:val="center"/>
          </w:tcPr>
          <w:p w14:paraId="607166FD" w14:textId="77777777" w:rsidR="004338FA" w:rsidRDefault="003760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445"/>
                <w:tab w:val="center" w:pos="4567"/>
              </w:tabs>
              <w:jc w:val="center"/>
            </w:pPr>
            <w:r>
              <w:t>Comments/Feedback</w:t>
            </w:r>
          </w:p>
        </w:tc>
      </w:tr>
      <w:tr w:rsidR="004338FA" w14:paraId="2DCF27A4" w14:textId="77777777">
        <w:trPr>
          <w:trHeight w:val="560"/>
        </w:trPr>
        <w:tc>
          <w:tcPr>
            <w:tcW w:w="9350" w:type="dxa"/>
            <w:gridSpan w:val="3"/>
          </w:tcPr>
          <w:p w14:paraId="1621E808" w14:textId="77777777" w:rsidR="004338FA" w:rsidRDefault="003760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</w:tbl>
    <w:p w14:paraId="7F3082E9" w14:textId="77777777" w:rsidR="004338FA" w:rsidRDefault="004338FA">
      <w:pPr>
        <w:spacing w:line="240" w:lineRule="auto"/>
        <w:rPr>
          <w:u w:val="single"/>
        </w:rPr>
      </w:pPr>
    </w:p>
    <w:p w14:paraId="031B17AA" w14:textId="77777777" w:rsidR="004338FA" w:rsidRDefault="004338FA">
      <w:pPr>
        <w:spacing w:line="240" w:lineRule="auto"/>
        <w:rPr>
          <w:u w:val="single"/>
        </w:rPr>
      </w:pPr>
    </w:p>
    <w:p w14:paraId="41678157" w14:textId="77777777" w:rsidR="004338FA" w:rsidRDefault="004338FA">
      <w:pPr>
        <w:spacing w:line="240" w:lineRule="auto"/>
        <w:rPr>
          <w:u w:val="single"/>
        </w:rPr>
      </w:pPr>
    </w:p>
    <w:p w14:paraId="3AD9C35F" w14:textId="77777777" w:rsidR="004338FA" w:rsidRDefault="00376080">
      <w:pPr>
        <w:pStyle w:val="Heading1"/>
        <w:tabs>
          <w:tab w:val="left" w:pos="9507"/>
        </w:tabs>
        <w:spacing w:before="0"/>
        <w:ind w:right="115"/>
        <w:rPr>
          <w:b/>
          <w:color w:val="4F81BD"/>
          <w:sz w:val="24"/>
          <w:szCs w:val="24"/>
        </w:rPr>
      </w:pPr>
      <w:r>
        <w:rPr>
          <w:b/>
          <w:color w:val="4F81BD"/>
          <w:sz w:val="24"/>
          <w:szCs w:val="24"/>
        </w:rPr>
        <w:t>Oversight and Evaluation:</w:t>
      </w:r>
    </w:p>
    <w:p w14:paraId="4F28D90B" w14:textId="77777777" w:rsidR="004338FA" w:rsidRDefault="003760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The policy and process supplemental document clearly explains the role of the Board and district administration and how these roles will promote and protect operator autonomy. </w:t>
      </w:r>
    </w:p>
    <w:p w14:paraId="6D1B6A69" w14:textId="77777777" w:rsidR="004338FA" w:rsidRDefault="003760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The policy and process supplemental document clearly outlines areas of autonomy and flexibility provided to charter schools. </w:t>
      </w:r>
    </w:p>
    <w:p w14:paraId="4FCE422B" w14:textId="77777777" w:rsidR="004338FA" w:rsidRDefault="003760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The policy and process supplemental document describes a comprehensive process for monitoring accountability and compliance, as defined in the charter contract. </w:t>
      </w:r>
    </w:p>
    <w:p w14:paraId="36CD478F" w14:textId="77777777" w:rsidR="004338FA" w:rsidRDefault="003760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The policy and process supplemental document outlines data collection requirements, including a reporting schedule, site-visits, mandated assessments, and any required student-management system. </w:t>
      </w:r>
    </w:p>
    <w:p w14:paraId="7C3F0DEA" w14:textId="77777777" w:rsidR="004338FA" w:rsidRDefault="003760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The policy and process supplemental document provides assurances that all oversight will be conducted in a minimally invasive manner possible to reduce administrative burdens and balance the protection of student and public interests with charter autonomy. </w:t>
      </w:r>
    </w:p>
    <w:p w14:paraId="1A05C977" w14:textId="77777777" w:rsidR="004338FA" w:rsidRDefault="004338F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 w:hanging="720"/>
        <w:rPr>
          <w:color w:val="000000"/>
        </w:rPr>
      </w:pPr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3150"/>
        <w:gridCol w:w="2965"/>
      </w:tblGrid>
      <w:tr w:rsidR="004338FA" w14:paraId="2836EC3D" w14:textId="77777777">
        <w:trPr>
          <w:trHeight w:val="200"/>
        </w:trPr>
        <w:tc>
          <w:tcPr>
            <w:tcW w:w="9350" w:type="dxa"/>
            <w:gridSpan w:val="3"/>
            <w:shd w:val="clear" w:color="auto" w:fill="95B3D7"/>
          </w:tcPr>
          <w:p w14:paraId="6B0E8CA8" w14:textId="77777777" w:rsidR="004338FA" w:rsidRDefault="003760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Review</w:t>
            </w:r>
          </w:p>
        </w:tc>
      </w:tr>
      <w:tr w:rsidR="004338FA" w14:paraId="7A5468E1" w14:textId="77777777">
        <w:trPr>
          <w:trHeight w:val="920"/>
        </w:trPr>
        <w:tc>
          <w:tcPr>
            <w:tcW w:w="3235" w:type="dxa"/>
            <w:vAlign w:val="center"/>
          </w:tcPr>
          <w:p w14:paraId="5E11A684" w14:textId="77777777" w:rsidR="004338FA" w:rsidRDefault="003760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t xml:space="preserve"> Meets the Standard</w:t>
            </w:r>
          </w:p>
        </w:tc>
        <w:tc>
          <w:tcPr>
            <w:tcW w:w="3150" w:type="dxa"/>
            <w:vAlign w:val="center"/>
          </w:tcPr>
          <w:p w14:paraId="662E054B" w14:textId="77777777" w:rsidR="004338FA" w:rsidRDefault="003760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t xml:space="preserve"> Partially Meets the Standard</w:t>
            </w:r>
          </w:p>
        </w:tc>
        <w:tc>
          <w:tcPr>
            <w:tcW w:w="2965" w:type="dxa"/>
            <w:vAlign w:val="center"/>
          </w:tcPr>
          <w:p w14:paraId="0E8E0B4E" w14:textId="77777777" w:rsidR="004338FA" w:rsidRDefault="003760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t xml:space="preserve"> Does Not Meet the Standard</w:t>
            </w:r>
          </w:p>
        </w:tc>
      </w:tr>
      <w:tr w:rsidR="004338FA" w14:paraId="5C813367" w14:textId="77777777">
        <w:tc>
          <w:tcPr>
            <w:tcW w:w="9350" w:type="dxa"/>
            <w:gridSpan w:val="3"/>
            <w:shd w:val="clear" w:color="auto" w:fill="95B3D7"/>
            <w:vAlign w:val="center"/>
          </w:tcPr>
          <w:p w14:paraId="13486CC3" w14:textId="77777777" w:rsidR="004338FA" w:rsidRDefault="003760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445"/>
                <w:tab w:val="center" w:pos="4567"/>
              </w:tabs>
              <w:jc w:val="center"/>
            </w:pPr>
            <w:r>
              <w:t>Comments/Feedback</w:t>
            </w:r>
          </w:p>
        </w:tc>
      </w:tr>
      <w:tr w:rsidR="004338FA" w14:paraId="3C25394A" w14:textId="77777777">
        <w:trPr>
          <w:trHeight w:val="560"/>
        </w:trPr>
        <w:tc>
          <w:tcPr>
            <w:tcW w:w="9350" w:type="dxa"/>
            <w:gridSpan w:val="3"/>
          </w:tcPr>
          <w:p w14:paraId="639DE9F5" w14:textId="77777777" w:rsidR="004338FA" w:rsidRDefault="003760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</w:tbl>
    <w:p w14:paraId="7B13AB30" w14:textId="77777777" w:rsidR="004338FA" w:rsidRDefault="004338FA">
      <w:pPr>
        <w:spacing w:after="120" w:line="240" w:lineRule="auto"/>
      </w:pPr>
    </w:p>
    <w:p w14:paraId="3C9B5270" w14:textId="77777777" w:rsidR="004338FA" w:rsidRDefault="004338FA">
      <w:pPr>
        <w:pStyle w:val="Heading1"/>
        <w:tabs>
          <w:tab w:val="left" w:pos="9507"/>
        </w:tabs>
        <w:spacing w:before="0"/>
        <w:ind w:right="115"/>
        <w:rPr>
          <w:b/>
          <w:color w:val="4F81BD"/>
          <w:sz w:val="24"/>
          <w:szCs w:val="24"/>
        </w:rPr>
      </w:pPr>
    </w:p>
    <w:p w14:paraId="2DB67239" w14:textId="77777777" w:rsidR="004338FA" w:rsidRDefault="004338FA"/>
    <w:p w14:paraId="4B48BEE3" w14:textId="77777777" w:rsidR="004338FA" w:rsidRDefault="00376080">
      <w:pPr>
        <w:pStyle w:val="Heading1"/>
        <w:tabs>
          <w:tab w:val="left" w:pos="9507"/>
        </w:tabs>
        <w:spacing w:before="0"/>
        <w:ind w:right="115"/>
        <w:rPr>
          <w:b/>
          <w:color w:val="4F81BD"/>
          <w:sz w:val="24"/>
          <w:szCs w:val="24"/>
        </w:rPr>
      </w:pPr>
      <w:r>
        <w:rPr>
          <w:b/>
          <w:color w:val="4F81BD"/>
          <w:sz w:val="24"/>
          <w:szCs w:val="24"/>
        </w:rPr>
        <w:t>Revocation &amp; Renewal:</w:t>
      </w:r>
    </w:p>
    <w:p w14:paraId="40CFDD90" w14:textId="77777777" w:rsidR="004338FA" w:rsidRDefault="003760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The policy and process supplemental document clearly defines criteria for revocation of a charter agreement. </w:t>
      </w:r>
    </w:p>
    <w:p w14:paraId="0173A1A7" w14:textId="77777777" w:rsidR="004338FA" w:rsidRDefault="003760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The policy and process supplemental document outlines a timeline and procedure for revocation of a charter agreement. </w:t>
      </w:r>
    </w:p>
    <w:p w14:paraId="4C0D29F5" w14:textId="77777777" w:rsidR="004338FA" w:rsidRDefault="003760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The policy and process supplemental document defines the charter term and evidence required for renewal of a charter agreement. </w:t>
      </w:r>
    </w:p>
    <w:p w14:paraId="300F6EE1" w14:textId="77777777" w:rsidR="004338FA" w:rsidRDefault="003760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The policy and process supplemental document clearly defines criteria and a timeline for non-renewal of a charter agreement. </w:t>
      </w:r>
    </w:p>
    <w:p w14:paraId="5B1D68A1" w14:textId="77777777" w:rsidR="004338FA" w:rsidRDefault="003760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 xml:space="preserve">The policy and process supplemental document describes a process for establishment of a closure protocol in the event of non-renewal of a charter agreement. </w:t>
      </w: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3150"/>
        <w:gridCol w:w="2965"/>
      </w:tblGrid>
      <w:tr w:rsidR="004338FA" w14:paraId="50EF6F3B" w14:textId="77777777">
        <w:trPr>
          <w:trHeight w:val="200"/>
        </w:trPr>
        <w:tc>
          <w:tcPr>
            <w:tcW w:w="9350" w:type="dxa"/>
            <w:gridSpan w:val="3"/>
            <w:shd w:val="clear" w:color="auto" w:fill="95B3D7"/>
          </w:tcPr>
          <w:p w14:paraId="1243DFDA" w14:textId="77777777" w:rsidR="004338FA" w:rsidRDefault="003760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Review</w:t>
            </w:r>
          </w:p>
        </w:tc>
      </w:tr>
      <w:tr w:rsidR="004338FA" w14:paraId="5F4785E8" w14:textId="77777777">
        <w:trPr>
          <w:trHeight w:val="920"/>
        </w:trPr>
        <w:tc>
          <w:tcPr>
            <w:tcW w:w="3235" w:type="dxa"/>
            <w:vAlign w:val="center"/>
          </w:tcPr>
          <w:p w14:paraId="0C8B1DC0" w14:textId="77777777" w:rsidR="004338FA" w:rsidRDefault="003760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t xml:space="preserve"> Meets the Standard</w:t>
            </w:r>
          </w:p>
        </w:tc>
        <w:tc>
          <w:tcPr>
            <w:tcW w:w="3150" w:type="dxa"/>
            <w:vAlign w:val="center"/>
          </w:tcPr>
          <w:p w14:paraId="50011721" w14:textId="77777777" w:rsidR="004338FA" w:rsidRDefault="003760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t xml:space="preserve"> Partially Meets the Standard</w:t>
            </w:r>
          </w:p>
        </w:tc>
        <w:tc>
          <w:tcPr>
            <w:tcW w:w="2965" w:type="dxa"/>
            <w:vAlign w:val="center"/>
          </w:tcPr>
          <w:p w14:paraId="54E138A9" w14:textId="77777777" w:rsidR="004338FA" w:rsidRDefault="003760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t xml:space="preserve"> Does Not Meet the Standard</w:t>
            </w:r>
          </w:p>
        </w:tc>
      </w:tr>
      <w:tr w:rsidR="004338FA" w14:paraId="66972DFF" w14:textId="77777777">
        <w:tc>
          <w:tcPr>
            <w:tcW w:w="9350" w:type="dxa"/>
            <w:gridSpan w:val="3"/>
            <w:shd w:val="clear" w:color="auto" w:fill="95B3D7"/>
            <w:vAlign w:val="center"/>
          </w:tcPr>
          <w:p w14:paraId="55E8FF4E" w14:textId="77777777" w:rsidR="004338FA" w:rsidRDefault="003760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445"/>
                <w:tab w:val="center" w:pos="4567"/>
              </w:tabs>
              <w:jc w:val="center"/>
            </w:pPr>
            <w:r>
              <w:t>Comments/Feedback</w:t>
            </w:r>
          </w:p>
        </w:tc>
      </w:tr>
      <w:tr w:rsidR="004338FA" w14:paraId="517ACB01" w14:textId="77777777">
        <w:trPr>
          <w:trHeight w:val="560"/>
        </w:trPr>
        <w:tc>
          <w:tcPr>
            <w:tcW w:w="9350" w:type="dxa"/>
            <w:gridSpan w:val="3"/>
          </w:tcPr>
          <w:p w14:paraId="50CC8799" w14:textId="77777777" w:rsidR="004338FA" w:rsidRDefault="003760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</w:tbl>
    <w:p w14:paraId="6ECAB7B5" w14:textId="77777777" w:rsidR="004338FA" w:rsidRDefault="004338FA">
      <w:pPr>
        <w:jc w:val="center"/>
        <w:rPr>
          <w:rFonts w:ascii="Calibri" w:eastAsia="Calibri" w:hAnsi="Calibri" w:cs="Calibri"/>
        </w:rPr>
      </w:pPr>
    </w:p>
    <w:sectPr w:rsidR="004338F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F5715" w14:textId="77777777" w:rsidR="00372B10" w:rsidRDefault="00372B10">
      <w:pPr>
        <w:spacing w:line="240" w:lineRule="auto"/>
      </w:pPr>
      <w:r>
        <w:separator/>
      </w:r>
    </w:p>
  </w:endnote>
  <w:endnote w:type="continuationSeparator" w:id="0">
    <w:p w14:paraId="140F313F" w14:textId="77777777" w:rsidR="00372B10" w:rsidRDefault="00372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28F22" w14:textId="77777777" w:rsidR="004338FA" w:rsidRDefault="003760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04024">
      <w:rPr>
        <w:noProof/>
        <w:color w:val="000000"/>
      </w:rPr>
      <w:t>1</w:t>
    </w:r>
    <w:r>
      <w:rPr>
        <w:color w:val="000000"/>
      </w:rPr>
      <w:fldChar w:fldCharType="end"/>
    </w:r>
  </w:p>
  <w:p w14:paraId="5DE9F60C" w14:textId="77777777" w:rsidR="004338FA" w:rsidRDefault="004338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A8115" w14:textId="77777777" w:rsidR="00372B10" w:rsidRDefault="00372B10">
      <w:pPr>
        <w:spacing w:line="240" w:lineRule="auto"/>
      </w:pPr>
      <w:r>
        <w:separator/>
      </w:r>
    </w:p>
  </w:footnote>
  <w:footnote w:type="continuationSeparator" w:id="0">
    <w:p w14:paraId="581157DA" w14:textId="77777777" w:rsidR="00372B10" w:rsidRDefault="00372B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BAB65" w14:textId="77777777" w:rsidR="004338FA" w:rsidRDefault="003760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49F0C119" wp14:editId="342CCB8F">
              <wp:simplePos x="0" y="0"/>
              <wp:positionH relativeFrom="column">
                <wp:posOffset>12700</wp:posOffset>
              </wp:positionH>
              <wp:positionV relativeFrom="paragraph">
                <wp:posOffset>-1765299</wp:posOffset>
              </wp:positionV>
              <wp:extent cx="5938643" cy="5938643"/>
              <wp:effectExtent l="0" t="0" r="0" b="0"/>
              <wp:wrapSquare wrapText="bothSides" distT="0" distB="0" distL="0" distR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353245" y="2583025"/>
                        <a:ext cx="5985510" cy="23939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89F315" w14:textId="77777777" w:rsidR="004338FA" w:rsidRDefault="00376080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F0C119" id="Rectangle 1" o:spid="_x0000_s1026" style="position:absolute;margin-left:1pt;margin-top:-139pt;width:467.6pt;height:467.6pt;rotation:-45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8rVygEAAG8DAAAOAAAAZHJzL2Uyb0RvYy54bWysU8tu2zAQvBfoPxC8x3pFrS1YDooGKQoE&#10;rdGkH0BTpEVAfHRJW/Lfd0kpqdHegupA7EiL4czsans36YGcBXhlTUuLVU6JMNx2yhxb+vP54WZN&#10;iQ/MdGywRrT0Ijy9271/tx1dI0rb26ETQJDE+GZ0Le1DcE2Wed4LzfzKOmHwo7SgWUAIx6wDNiK7&#10;HrIyzz9ko4XOgeXCe3x7P3+ku8QvpeDhu5ReBDK0FLWFdEI6D/HMdlvWHIG5XvFFBnuDCs2UwUtf&#10;qe5ZYOQE6h8qrThYb2VYcaszK6XiInlAN0X+l5unnjmRvGA43r3G5P8fLf923gNRHc6OEsM0jugH&#10;hsbMcRCkiPGMzjfY9eT2sCCPZfQ6SdAELGZ6U37M45MiQFNkamlZ1VV5W1NywbpeV3lZz2mLKRCO&#10;DfVmXdcFDoXHjmpTbeo0j2xmjjc48OGLsJrEoqWAytIV7PzoA6rB1pcWBFHprC1WYTpMi+CD7S7o&#10;0jv+oJDokfmwZ4BzRs8jzr6l/teJgaBk+Gow3E1xi2JJuAZwDQ7XgBneW1wpHoCSGXwOacWiBWM/&#10;nYKVKsmNumYxi1ycanKxbGBcm2ucuv78J7vfAAAA//8DAFBLAwQUAAYACAAAACEARZIb9t4AAAAK&#10;AQAADwAAAGRycy9kb3ducmV2LnhtbEyPS0/DMBCE70j8B2uRuLUOqegjxKl4H0EpIK7beEki4nUU&#10;u2ng17Oc4DajHc1+k28n16mRhtB6NnAxT0ARV962XBt4fXmYrUGFiGyx80wGvijAtjg9yTGz/sgl&#10;jbtYKynhkKGBJsY+0zpUDTkMc98Ty+3DDw6j2KHWdsCjlLtOp0my1A5blg8N9nTbUPW5OzgDY494&#10;9/3+2L3dl6V+sgu9uXnWxpyfTddXoCJN8S8Mv/iCDoUw7f2BbVCdgVSWRAOzdLUWJYHNYpWC2htY&#10;XorQRa7/Tyh+AAAA//8DAFBLAQItABQABgAIAAAAIQC2gziS/gAAAOEBAAATAAAAAAAAAAAAAAAA&#10;AAAAAABbQ29udGVudF9UeXBlc10ueG1sUEsBAi0AFAAGAAgAAAAhADj9If/WAAAAlAEAAAsAAAAA&#10;AAAAAAAAAAAALwEAAF9yZWxzLy5yZWxzUEsBAi0AFAAGAAgAAAAhABOfytXKAQAAbwMAAA4AAAAA&#10;AAAAAAAAAAAALgIAAGRycy9lMm9Eb2MueG1sUEsBAi0AFAAGAAgAAAAhAEWSG/beAAAACgEAAA8A&#10;AAAAAAAAAAAAAAAAJAQAAGRycy9kb3ducmV2LnhtbFBLBQYAAAAABAAEAPMAAAAvBQAAAAA=&#10;" filled="f" stroked="f">
              <v:textbox inset="2.53958mm,2.53958mm,2.53958mm,2.53958mm">
                <w:txbxContent>
                  <w:p w14:paraId="3589F315" w14:textId="77777777" w:rsidR="004338FA" w:rsidRDefault="00376080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21D18" w14:textId="77777777" w:rsidR="004338FA" w:rsidRDefault="004338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</w:p>
  <w:p w14:paraId="2E22DF63" w14:textId="77777777" w:rsidR="004338FA" w:rsidRDefault="004338FA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Cambria" w:eastAsia="Cambria" w:hAnsi="Cambria" w:cs="Cambria"/>
        <w:b/>
        <w:color w:val="000000"/>
      </w:rPr>
    </w:pPr>
  </w:p>
  <w:p w14:paraId="0AE09F40" w14:textId="77777777" w:rsidR="004338FA" w:rsidRDefault="004338F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  <w:rPr>
        <w:rFonts w:ascii="Cambria" w:eastAsia="Cambria" w:hAnsi="Cambria" w:cs="Cambria"/>
        <w:color w:val="000000"/>
      </w:rPr>
    </w:pPr>
  </w:p>
  <w:p w14:paraId="664A1C43" w14:textId="77777777" w:rsidR="004338FA" w:rsidRDefault="003760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b/>
        <w:color w:val="000000"/>
      </w:rPr>
    </w:pPr>
    <w:r>
      <w:rPr>
        <w:color w:val="000000"/>
      </w:rPr>
      <w:t xml:space="preserve"> </w:t>
    </w:r>
    <w:r>
      <w:rPr>
        <w:b/>
        <w:color w:val="000000"/>
      </w:rPr>
      <w:t xml:space="preserve">Texas Education Agency </w:t>
    </w:r>
  </w:p>
  <w:p w14:paraId="442B1127" w14:textId="77777777" w:rsidR="004338FA" w:rsidRDefault="003760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b/>
        <w:color w:val="000000"/>
      </w:rPr>
    </w:pPr>
    <w:r>
      <w:rPr>
        <w:b/>
        <w:color w:val="000000"/>
      </w:rPr>
      <w:t>Texas Partnership Benefits Application</w:t>
    </w:r>
  </w:p>
  <w:p w14:paraId="433DE4B4" w14:textId="77777777" w:rsidR="004338FA" w:rsidRDefault="003760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b/>
      </w:rPr>
      <w:tab/>
    </w: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0BEBF" w14:textId="77777777" w:rsidR="004338FA" w:rsidRDefault="004338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B17B3"/>
    <w:multiLevelType w:val="multilevel"/>
    <w:tmpl w:val="A3F0CCC6"/>
    <w:lvl w:ilvl="0">
      <w:start w:val="1"/>
      <w:numFmt w:val="bullet"/>
      <w:lvlText w:val="❖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4464BE"/>
    <w:multiLevelType w:val="hybridMultilevel"/>
    <w:tmpl w:val="263E7C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C028B"/>
    <w:multiLevelType w:val="multilevel"/>
    <w:tmpl w:val="5590D71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7B185C"/>
    <w:multiLevelType w:val="multilevel"/>
    <w:tmpl w:val="57DACC40"/>
    <w:lvl w:ilvl="0">
      <w:start w:val="1"/>
      <w:numFmt w:val="bullet"/>
      <w:lvlText w:val="❖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213187"/>
    <w:multiLevelType w:val="multilevel"/>
    <w:tmpl w:val="938252D8"/>
    <w:lvl w:ilvl="0">
      <w:start w:val="1"/>
      <w:numFmt w:val="bullet"/>
      <w:lvlText w:val="❖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4877C0"/>
    <w:multiLevelType w:val="multilevel"/>
    <w:tmpl w:val="B05AF024"/>
    <w:lvl w:ilvl="0">
      <w:start w:val="1"/>
      <w:numFmt w:val="bullet"/>
      <w:lvlText w:val="❖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EDB6C1D"/>
    <w:multiLevelType w:val="hybridMultilevel"/>
    <w:tmpl w:val="AEE2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8FA"/>
    <w:rsid w:val="00004024"/>
    <w:rsid w:val="001635C2"/>
    <w:rsid w:val="00372B10"/>
    <w:rsid w:val="00376080"/>
    <w:rsid w:val="004338FA"/>
    <w:rsid w:val="00897FE7"/>
    <w:rsid w:val="00A6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1DDA4"/>
  <w15:docId w15:val="{36B8960A-A7BA-DC4B-B061-C1B39D48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4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Denman, Lindsay</cp:lastModifiedBy>
  <cp:revision>4</cp:revision>
  <dcterms:created xsi:type="dcterms:W3CDTF">2019-12-13T12:54:00Z</dcterms:created>
  <dcterms:modified xsi:type="dcterms:W3CDTF">2019-12-13T13:01:00Z</dcterms:modified>
</cp:coreProperties>
</file>